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5C5AA3">
      <w:pPr>
        <w:adjustRightInd w:val="0"/>
        <w:snapToGrid w:val="0"/>
        <w:spacing w:line="400" w:lineRule="exact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编制说明</w:t>
      </w:r>
    </w:p>
    <w:p w14:paraId="7E18F283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500" w:lineRule="exact"/>
        <w:textAlignment w:val="auto"/>
        <w:rPr>
          <w:rFonts w:ascii="Times New Roman" w:hAnsi="Times New Roman" w:cs="Times New Roman"/>
        </w:rPr>
      </w:pPr>
    </w:p>
    <w:p w14:paraId="3CB5BF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90" w:lineRule="exact"/>
        <w:ind w:firstLine="482" w:firstLineChars="200"/>
        <w:textAlignment w:val="auto"/>
        <w:rPr>
          <w:rFonts w:ascii="宋体" w:hAnsi="宋体" w:cs="宋体"/>
          <w:b/>
          <w:kern w:val="0"/>
          <w:sz w:val="24"/>
          <w:szCs w:val="24"/>
          <w:lang w:val="zh-CN"/>
        </w:rPr>
      </w:pPr>
      <w:r>
        <w:rPr>
          <w:rFonts w:hint="eastAsia" w:ascii="宋体" w:hAnsi="宋体" w:cs="宋体"/>
          <w:b/>
          <w:kern w:val="0"/>
          <w:sz w:val="24"/>
          <w:szCs w:val="24"/>
          <w:lang w:val="zh-CN"/>
        </w:rPr>
        <w:t>一、工程概况</w:t>
      </w:r>
    </w:p>
    <w:p w14:paraId="2048428A">
      <w:pPr>
        <w:bidi w:val="0"/>
        <w:spacing w:line="360" w:lineRule="auto"/>
        <w:ind w:firstLine="480" w:firstLineChars="200"/>
        <w:rPr>
          <w:rFonts w:hint="default"/>
          <w:sz w:val="24"/>
          <w:szCs w:val="24"/>
          <w:lang w:val="en-US"/>
        </w:rPr>
      </w:pPr>
      <w:r>
        <w:rPr>
          <w:rFonts w:hint="eastAsia"/>
          <w:sz w:val="24"/>
          <w:szCs w:val="24"/>
          <w:lang w:val="zh-CN"/>
        </w:rPr>
        <w:t>1</w:t>
      </w:r>
      <w:r>
        <w:rPr>
          <w:rFonts w:hint="eastAsia"/>
          <w:sz w:val="24"/>
          <w:szCs w:val="24"/>
          <w:lang w:val="en-US" w:eastAsia="zh-CN"/>
        </w:rPr>
        <w:t>.</w:t>
      </w:r>
      <w:r>
        <w:rPr>
          <w:rFonts w:hint="eastAsia"/>
          <w:sz w:val="24"/>
          <w:szCs w:val="24"/>
          <w:lang w:val="zh-CN"/>
        </w:rPr>
        <w:t>工程名称：</w:t>
      </w:r>
      <w:r>
        <w:rPr>
          <w:rFonts w:hint="eastAsia"/>
          <w:sz w:val="24"/>
          <w:szCs w:val="24"/>
          <w:lang w:val="en-US" w:eastAsia="zh-CN"/>
        </w:rPr>
        <w:t>乌拉特后旗巴音宝力格镇三支渠团结渠桥建设工程</w:t>
      </w:r>
    </w:p>
    <w:p w14:paraId="1E0EBA15">
      <w:pPr>
        <w:bidi w:val="0"/>
        <w:spacing w:line="360" w:lineRule="auto"/>
        <w:ind w:firstLine="480" w:firstLineChars="200"/>
        <w:rPr>
          <w:rFonts w:hint="eastAsia"/>
          <w:sz w:val="24"/>
          <w:szCs w:val="24"/>
          <w:lang w:val="zh-CN" w:eastAsia="zh-CN"/>
        </w:rPr>
      </w:pPr>
      <w:r>
        <w:rPr>
          <w:rFonts w:hint="eastAsia"/>
          <w:sz w:val="24"/>
          <w:szCs w:val="24"/>
          <w:lang w:val="zh-CN" w:eastAsia="zh-CN"/>
        </w:rPr>
        <w:t>2</w:t>
      </w:r>
      <w:r>
        <w:rPr>
          <w:rFonts w:hint="eastAsia"/>
          <w:sz w:val="24"/>
          <w:szCs w:val="24"/>
          <w:lang w:val="en-US" w:eastAsia="zh-CN"/>
        </w:rPr>
        <w:t>.</w:t>
      </w:r>
      <w:r>
        <w:rPr>
          <w:rFonts w:hint="eastAsia"/>
          <w:sz w:val="24"/>
          <w:szCs w:val="24"/>
          <w:lang w:val="zh-CN" w:eastAsia="zh-CN"/>
        </w:rPr>
        <w:t>建设内容：新建桥梁孔径为 1-13 米，桥梁全长 18.54 米，桥梁宽度 8.5 米，桥梁上部采用装配式预应力钢筋混凝土空心板，下部采用桩、柱式墩台，基础形式采用钻孔灌注桩基础，桥梁正交。</w:t>
      </w:r>
    </w:p>
    <w:p w14:paraId="78E141A8">
      <w:pPr>
        <w:bidi w:val="0"/>
        <w:spacing w:line="360" w:lineRule="auto"/>
        <w:ind w:firstLine="480" w:firstLineChars="200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</w:rPr>
        <w:t>3</w:t>
      </w:r>
      <w:r>
        <w:rPr>
          <w:rFonts w:hint="eastAsia"/>
          <w:sz w:val="24"/>
          <w:szCs w:val="24"/>
          <w:lang w:val="en-US" w:eastAsia="zh-CN"/>
        </w:rPr>
        <w:t>.</w:t>
      </w:r>
      <w:r>
        <w:rPr>
          <w:rFonts w:hint="eastAsia"/>
          <w:sz w:val="24"/>
          <w:szCs w:val="24"/>
          <w:lang w:val="zh-CN"/>
        </w:rPr>
        <w:t>建设地点：内蒙古</w:t>
      </w:r>
      <w:r>
        <w:rPr>
          <w:rFonts w:hint="eastAsia"/>
          <w:sz w:val="24"/>
          <w:szCs w:val="24"/>
          <w:lang w:val="en-US" w:eastAsia="zh-CN"/>
        </w:rPr>
        <w:t>乌拉特后旗巴音宝力格镇。</w:t>
      </w:r>
    </w:p>
    <w:p w14:paraId="1CB81E0B">
      <w:pPr>
        <w:keepNext w:val="0"/>
        <w:keepLines w:val="0"/>
        <w:pageBreakBefore w:val="0"/>
        <w:widowControl w:val="0"/>
        <w:tabs>
          <w:tab w:val="left" w:pos="425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90" w:lineRule="exact"/>
        <w:ind w:firstLine="482" w:firstLineChars="200"/>
        <w:textAlignment w:val="auto"/>
        <w:rPr>
          <w:rFonts w:ascii="宋体" w:hAnsi="宋体" w:cs="宋体"/>
          <w:kern w:val="0"/>
          <w:sz w:val="24"/>
          <w:szCs w:val="24"/>
        </w:rPr>
      </w:pPr>
      <w:r>
        <w:rPr>
          <w:rFonts w:hint="eastAsia" w:ascii="宋体" w:hAnsi="宋体" w:cs="宋体"/>
          <w:b/>
          <w:kern w:val="0"/>
          <w:sz w:val="24"/>
          <w:szCs w:val="24"/>
          <w:lang w:val="zh-CN"/>
        </w:rPr>
        <w:t>二、编制依据</w:t>
      </w:r>
    </w:p>
    <w:p w14:paraId="66C719CE">
      <w:pPr>
        <w:keepNext w:val="0"/>
        <w:keepLines w:val="0"/>
        <w:pageBreakBefore w:val="0"/>
        <w:widowControl w:val="0"/>
        <w:tabs>
          <w:tab w:val="left" w:pos="425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90" w:lineRule="exact"/>
        <w:ind w:firstLine="480" w:firstLineChars="200"/>
        <w:textAlignment w:val="auto"/>
        <w:rPr>
          <w:rFonts w:hint="eastAsia" w:ascii="宋体" w:hAnsi="宋体" w:cs="宋体"/>
          <w:kern w:val="0"/>
          <w:sz w:val="24"/>
          <w:szCs w:val="24"/>
          <w:lang w:eastAsia="zh-CN"/>
        </w:rPr>
      </w:pPr>
      <w:r>
        <w:rPr>
          <w:rFonts w:hint="eastAsia" w:ascii="宋体" w:hAnsi="宋体" w:cs="宋体"/>
          <w:kern w:val="0"/>
          <w:sz w:val="24"/>
          <w:szCs w:val="24"/>
          <w:lang w:val="en-US" w:eastAsia="zh-CN"/>
        </w:rPr>
        <w:t>1.</w:t>
      </w:r>
      <w:r>
        <w:rPr>
          <w:rFonts w:hint="eastAsia" w:ascii="宋体" w:hAnsi="宋体" w:cs="宋体"/>
          <w:kern w:val="0"/>
          <w:sz w:val="24"/>
          <w:szCs w:val="24"/>
        </w:rPr>
        <w:t>《建设工程工程量清单计价标准》（GB/T50500—2024）</w:t>
      </w:r>
      <w:r>
        <w:rPr>
          <w:rFonts w:hint="eastAsia" w:ascii="宋体" w:hAnsi="宋体" w:cs="宋体"/>
          <w:kern w:val="0"/>
          <w:sz w:val="24"/>
          <w:szCs w:val="24"/>
          <w:lang w:val="en-US" w:eastAsia="zh-CN"/>
        </w:rPr>
        <w:t>及</w:t>
      </w:r>
      <w:r>
        <w:rPr>
          <w:rFonts w:hint="eastAsia" w:ascii="宋体" w:hAnsi="宋体" w:cs="宋体"/>
          <w:kern w:val="0"/>
          <w:sz w:val="24"/>
          <w:szCs w:val="24"/>
        </w:rPr>
        <w:t>相关工程国家及行业工程量计算标准</w:t>
      </w:r>
      <w:r>
        <w:rPr>
          <w:rFonts w:hint="eastAsia" w:ascii="宋体" w:hAnsi="宋体" w:cs="宋体"/>
          <w:kern w:val="0"/>
          <w:sz w:val="24"/>
          <w:szCs w:val="24"/>
          <w:lang w:eastAsia="zh-CN"/>
        </w:rPr>
        <w:t>；</w:t>
      </w:r>
    </w:p>
    <w:p w14:paraId="584D16EF">
      <w:pPr>
        <w:keepNext w:val="0"/>
        <w:keepLines w:val="0"/>
        <w:pageBreakBefore w:val="0"/>
        <w:widowControl w:val="0"/>
        <w:tabs>
          <w:tab w:val="left" w:pos="425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90" w:lineRule="exact"/>
        <w:ind w:firstLine="480" w:firstLineChars="200"/>
        <w:textAlignment w:val="auto"/>
        <w:rPr>
          <w:rFonts w:hint="eastAsia" w:ascii="宋体" w:hAnsi="宋体" w:cs="宋体"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  <w:lang w:val="en-US" w:eastAsia="zh-CN"/>
        </w:rPr>
        <w:t>2.</w:t>
      </w:r>
      <w:r>
        <w:rPr>
          <w:rFonts w:hint="eastAsia" w:ascii="宋体" w:hAnsi="宋体" w:cs="宋体"/>
          <w:kern w:val="0"/>
          <w:sz w:val="24"/>
          <w:szCs w:val="24"/>
        </w:rPr>
        <w:t>国家及省级、行业建设主管部门颁发的其他专业工程计量标准和计价规定、补充的工程量计算规则；</w:t>
      </w:r>
    </w:p>
    <w:p w14:paraId="0F40B070">
      <w:pPr>
        <w:keepNext w:val="0"/>
        <w:keepLines w:val="0"/>
        <w:pageBreakBefore w:val="0"/>
        <w:widowControl w:val="0"/>
        <w:tabs>
          <w:tab w:val="left" w:pos="425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90" w:lineRule="exact"/>
        <w:ind w:firstLine="480" w:firstLineChars="200"/>
        <w:textAlignment w:val="auto"/>
        <w:rPr>
          <w:rFonts w:hint="eastAsia" w:ascii="宋体" w:hAnsi="宋体" w:cs="宋体"/>
          <w:kern w:val="0"/>
          <w:sz w:val="24"/>
          <w:szCs w:val="24"/>
          <w:lang w:eastAsia="zh-CN"/>
        </w:rPr>
      </w:pPr>
      <w:r>
        <w:rPr>
          <w:rFonts w:hint="eastAsia" w:ascii="宋体" w:hAnsi="宋体" w:cs="宋体"/>
          <w:kern w:val="0"/>
          <w:sz w:val="24"/>
          <w:szCs w:val="24"/>
          <w:lang w:val="en-US" w:eastAsia="zh-CN"/>
        </w:rPr>
        <w:t>3.</w:t>
      </w:r>
      <w:r>
        <w:rPr>
          <w:rFonts w:hint="eastAsia" w:ascii="宋体" w:hAnsi="宋体" w:cs="宋体"/>
          <w:kern w:val="0"/>
          <w:sz w:val="24"/>
          <w:szCs w:val="24"/>
          <w:lang w:eastAsia="zh-CN"/>
        </w:rPr>
        <w:t>建设工程设计文件及技术资料；</w:t>
      </w:r>
    </w:p>
    <w:p w14:paraId="79B96567">
      <w:pPr>
        <w:keepNext w:val="0"/>
        <w:keepLines w:val="0"/>
        <w:pageBreakBefore w:val="0"/>
        <w:widowControl w:val="0"/>
        <w:tabs>
          <w:tab w:val="left" w:pos="425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90" w:lineRule="exact"/>
        <w:ind w:firstLine="480" w:firstLineChars="200"/>
        <w:textAlignment w:val="auto"/>
        <w:rPr>
          <w:rFonts w:hint="eastAsia" w:ascii="宋体" w:hAnsi="宋体" w:cs="宋体"/>
          <w:kern w:val="0"/>
          <w:sz w:val="24"/>
          <w:szCs w:val="24"/>
          <w:lang w:eastAsia="zh-CN"/>
        </w:rPr>
      </w:pPr>
      <w:r>
        <w:rPr>
          <w:rFonts w:hint="eastAsia" w:ascii="宋体" w:hAnsi="宋体" w:cs="宋体"/>
          <w:kern w:val="0"/>
          <w:sz w:val="24"/>
          <w:szCs w:val="24"/>
          <w:lang w:val="en-US" w:eastAsia="zh-CN"/>
        </w:rPr>
        <w:t>4.</w:t>
      </w:r>
      <w:r>
        <w:rPr>
          <w:rFonts w:hint="eastAsia" w:ascii="宋体" w:hAnsi="宋体" w:cs="宋体"/>
          <w:kern w:val="0"/>
          <w:sz w:val="24"/>
          <w:szCs w:val="24"/>
          <w:lang w:eastAsia="zh-CN"/>
        </w:rPr>
        <w:t>与建设工程项目有关的</w:t>
      </w:r>
      <w:r>
        <w:rPr>
          <w:rFonts w:hint="eastAsia" w:ascii="宋体" w:hAnsi="宋体" w:cs="宋体"/>
          <w:kern w:val="0"/>
          <w:sz w:val="24"/>
          <w:szCs w:val="24"/>
          <w:lang w:val="en-US" w:eastAsia="zh-CN"/>
        </w:rPr>
        <w:t>技术</w:t>
      </w:r>
      <w:r>
        <w:rPr>
          <w:rFonts w:hint="eastAsia" w:ascii="宋体" w:hAnsi="宋体" w:cs="宋体"/>
          <w:kern w:val="0"/>
          <w:sz w:val="24"/>
          <w:szCs w:val="24"/>
          <w:lang w:eastAsia="zh-CN"/>
        </w:rPr>
        <w:t>标准、规范；</w:t>
      </w:r>
    </w:p>
    <w:p w14:paraId="59E9A406">
      <w:pPr>
        <w:keepNext w:val="0"/>
        <w:keepLines w:val="0"/>
        <w:pageBreakBefore w:val="0"/>
        <w:widowControl w:val="0"/>
        <w:tabs>
          <w:tab w:val="left" w:pos="425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90" w:lineRule="exact"/>
        <w:ind w:firstLine="480" w:firstLineChars="200"/>
        <w:textAlignment w:val="auto"/>
        <w:rPr>
          <w:rFonts w:hint="eastAsia" w:ascii="宋体" w:hAnsi="宋体" w:cs="宋体"/>
          <w:kern w:val="0"/>
          <w:sz w:val="24"/>
          <w:szCs w:val="24"/>
          <w:lang w:eastAsia="zh-CN"/>
        </w:rPr>
      </w:pPr>
      <w:r>
        <w:rPr>
          <w:rFonts w:hint="eastAsia" w:ascii="宋体" w:hAnsi="宋体" w:cs="宋体"/>
          <w:kern w:val="0"/>
          <w:sz w:val="24"/>
          <w:szCs w:val="24"/>
          <w:lang w:val="en-US" w:eastAsia="zh-CN"/>
        </w:rPr>
        <w:t>5.</w:t>
      </w:r>
      <w:r>
        <w:rPr>
          <w:rFonts w:hint="eastAsia" w:ascii="宋体" w:hAnsi="宋体" w:cs="宋体"/>
          <w:kern w:val="0"/>
          <w:sz w:val="24"/>
          <w:szCs w:val="24"/>
          <w:lang w:eastAsia="zh-CN"/>
        </w:rPr>
        <w:t>合理施工工期及常规施工工艺、顺序；</w:t>
      </w:r>
    </w:p>
    <w:p w14:paraId="01213E58">
      <w:pPr>
        <w:keepNext w:val="0"/>
        <w:keepLines w:val="0"/>
        <w:pageBreakBefore w:val="0"/>
        <w:widowControl w:val="0"/>
        <w:tabs>
          <w:tab w:val="left" w:pos="360"/>
        </w:tabs>
        <w:kinsoku/>
        <w:wordWrap/>
        <w:overflowPunct/>
        <w:topLinePunct w:val="0"/>
        <w:bidi w:val="0"/>
        <w:snapToGrid/>
        <w:spacing w:line="490" w:lineRule="exact"/>
        <w:ind w:firstLine="480" w:firstLineChars="200"/>
        <w:textAlignment w:val="auto"/>
        <w:rPr>
          <w:rFonts w:hint="eastAsia" w:ascii="宋体" w:hAnsi="宋体" w:cs="宋体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kern w:val="0"/>
          <w:sz w:val="24"/>
          <w:szCs w:val="24"/>
          <w:lang w:val="en-US" w:eastAsia="zh-CN"/>
        </w:rPr>
        <w:t>6.其它相关资料。</w:t>
      </w:r>
    </w:p>
    <w:p w14:paraId="2A2FDCFD">
      <w:pPr>
        <w:keepNext w:val="0"/>
        <w:keepLines w:val="0"/>
        <w:pageBreakBefore w:val="0"/>
        <w:widowControl w:val="0"/>
        <w:tabs>
          <w:tab w:val="left" w:pos="360"/>
        </w:tabs>
        <w:kinsoku/>
        <w:wordWrap/>
        <w:overflowPunct/>
        <w:topLinePunct w:val="0"/>
        <w:bidi w:val="0"/>
        <w:snapToGrid/>
        <w:spacing w:line="490" w:lineRule="exact"/>
        <w:ind w:firstLine="480" w:firstLineChars="200"/>
        <w:textAlignment w:val="auto"/>
        <w:rPr>
          <w:rFonts w:hint="eastAsia" w:ascii="宋体" w:hAnsi="宋体" w:cs="宋体"/>
          <w:b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</w:rPr>
        <w:t>三、</w:t>
      </w:r>
      <w:r>
        <w:rPr>
          <w:rFonts w:hint="eastAsia" w:ascii="宋体" w:hAnsi="宋体" w:cs="宋体"/>
          <w:b/>
          <w:kern w:val="0"/>
          <w:sz w:val="24"/>
          <w:szCs w:val="24"/>
        </w:rPr>
        <w:t>编制说明</w:t>
      </w:r>
    </w:p>
    <w:p w14:paraId="0A6B4FC2">
      <w:pPr>
        <w:keepNext w:val="0"/>
        <w:keepLines w:val="0"/>
        <w:pageBreakBefore w:val="0"/>
        <w:widowControl w:val="0"/>
        <w:tabs>
          <w:tab w:val="left" w:pos="3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90" w:lineRule="exact"/>
        <w:ind w:firstLine="480" w:firstLineChars="200"/>
        <w:textAlignment w:val="auto"/>
        <w:rPr>
          <w:rFonts w:hint="default" w:ascii="宋体" w:hAnsi="宋体" w:cs="宋体" w:eastAsiaTheme="minorEastAsia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kern w:val="0"/>
          <w:sz w:val="24"/>
          <w:szCs w:val="24"/>
          <w:lang w:val="en-US" w:eastAsia="zh-CN"/>
        </w:rPr>
        <w:t>1.</w:t>
      </w:r>
      <w:r>
        <w:rPr>
          <w:rFonts w:hint="eastAsia" w:ascii="宋体" w:hAnsi="宋体" w:cs="宋体"/>
          <w:kern w:val="0"/>
          <w:sz w:val="24"/>
          <w:szCs w:val="24"/>
        </w:rPr>
        <w:t>材料检验试验费已按</w:t>
      </w:r>
      <w:r>
        <w:rPr>
          <w:rFonts w:hint="eastAsia" w:ascii="宋体" w:hAnsi="宋体" w:cs="宋体"/>
          <w:kern w:val="0"/>
          <w:sz w:val="24"/>
          <w:szCs w:val="24"/>
          <w:lang w:val="zh-CN"/>
        </w:rPr>
        <w:t>20</w:t>
      </w:r>
      <w:r>
        <w:rPr>
          <w:rFonts w:hint="eastAsia" w:ascii="宋体" w:hAnsi="宋体" w:cs="宋体"/>
          <w:kern w:val="0"/>
          <w:sz w:val="24"/>
          <w:szCs w:val="24"/>
        </w:rPr>
        <w:t>17届</w:t>
      </w:r>
      <w:r>
        <w:rPr>
          <w:rFonts w:hint="eastAsia" w:ascii="宋体" w:hAnsi="宋体" w:cs="宋体"/>
          <w:kern w:val="0"/>
          <w:sz w:val="24"/>
          <w:szCs w:val="24"/>
          <w:lang w:val="zh-CN"/>
        </w:rPr>
        <w:t>《</w:t>
      </w:r>
      <w:bookmarkStart w:id="0" w:name="_GoBack"/>
      <w:bookmarkEnd w:id="0"/>
      <w:r>
        <w:rPr>
          <w:rFonts w:hint="eastAsia" w:ascii="宋体" w:hAnsi="宋体" w:cs="宋体"/>
          <w:kern w:val="0"/>
          <w:sz w:val="24"/>
          <w:szCs w:val="24"/>
          <w:lang w:val="zh-CN"/>
        </w:rPr>
        <w:t>内蒙古自治区建设工程费用定额》的相关说明及文件</w:t>
      </w:r>
      <w:r>
        <w:rPr>
          <w:rFonts w:hint="eastAsia" w:ascii="宋体" w:hAnsi="宋体" w:cs="宋体"/>
          <w:kern w:val="0"/>
          <w:sz w:val="24"/>
          <w:szCs w:val="24"/>
        </w:rPr>
        <w:t>计入本次</w:t>
      </w:r>
      <w:r>
        <w:rPr>
          <w:rFonts w:hint="eastAsia" w:ascii="宋体" w:hAnsi="宋体" w:cs="宋体"/>
          <w:kern w:val="0"/>
          <w:sz w:val="24"/>
          <w:szCs w:val="24"/>
          <w:lang w:val="en-US" w:eastAsia="zh-CN"/>
        </w:rPr>
        <w:t>预算</w:t>
      </w:r>
      <w:r>
        <w:rPr>
          <w:rFonts w:hint="eastAsia" w:ascii="宋体" w:hAnsi="宋体" w:cs="宋体"/>
          <w:kern w:val="0"/>
          <w:sz w:val="24"/>
          <w:szCs w:val="24"/>
        </w:rPr>
        <w:t>内；</w:t>
      </w:r>
      <w:r>
        <w:rPr>
          <w:rFonts w:hint="eastAsia" w:ascii="宋体" w:hAnsi="宋体" w:cs="宋体"/>
          <w:kern w:val="0"/>
          <w:sz w:val="24"/>
          <w:szCs w:val="24"/>
          <w:lang w:val="en-US" w:eastAsia="zh-CN"/>
        </w:rPr>
        <w:t>增加桩基检测费6000元。</w:t>
      </w:r>
    </w:p>
    <w:p w14:paraId="020F4D9E">
      <w:pPr>
        <w:keepNext w:val="0"/>
        <w:keepLines w:val="0"/>
        <w:pageBreakBefore w:val="0"/>
        <w:widowControl w:val="0"/>
        <w:tabs>
          <w:tab w:val="left" w:pos="3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90" w:lineRule="exact"/>
        <w:ind w:firstLine="480" w:firstLineChars="200"/>
        <w:textAlignment w:val="auto"/>
        <w:rPr>
          <w:rFonts w:hint="default" w:ascii="宋体" w:hAnsi="宋体" w:cs="宋体" w:eastAsiaTheme="minorEastAsia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kern w:val="0"/>
          <w:sz w:val="24"/>
          <w:szCs w:val="24"/>
          <w:lang w:val="en-US" w:eastAsia="zh-CN"/>
        </w:rPr>
        <w:t>2.建筑工人实名制费暂未计入。</w:t>
      </w:r>
    </w:p>
    <w:p w14:paraId="64951FBA">
      <w:pPr>
        <w:keepNext w:val="0"/>
        <w:keepLines w:val="0"/>
        <w:pageBreakBefore w:val="0"/>
        <w:widowControl w:val="0"/>
        <w:tabs>
          <w:tab w:val="left" w:pos="3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90" w:lineRule="exact"/>
        <w:ind w:firstLine="480" w:firstLineChars="200"/>
        <w:textAlignment w:val="auto"/>
        <w:rPr>
          <w:rFonts w:ascii="宋体" w:hAnsi="宋体" w:cs="宋体"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  <w:lang w:val="en-US" w:eastAsia="zh-CN"/>
        </w:rPr>
        <w:t>3.</w:t>
      </w:r>
      <w:r>
        <w:rPr>
          <w:rFonts w:hint="eastAsia" w:ascii="宋体" w:hAnsi="宋体" w:cs="宋体"/>
          <w:kern w:val="0"/>
          <w:sz w:val="24"/>
          <w:szCs w:val="24"/>
        </w:rPr>
        <w:t>本</w:t>
      </w:r>
      <w:r>
        <w:rPr>
          <w:rFonts w:hint="eastAsia" w:ascii="宋体" w:hAnsi="宋体" w:cs="宋体"/>
          <w:kern w:val="0"/>
          <w:sz w:val="24"/>
          <w:szCs w:val="24"/>
          <w:lang w:val="en-US" w:eastAsia="zh-CN"/>
        </w:rPr>
        <w:t>项目</w:t>
      </w:r>
      <w:r>
        <w:rPr>
          <w:rFonts w:hint="eastAsia" w:ascii="宋体" w:hAnsi="宋体" w:cs="宋体"/>
          <w:kern w:val="0"/>
          <w:sz w:val="24"/>
          <w:szCs w:val="24"/>
        </w:rPr>
        <w:t>未考虑安全文明施工标准、优质工程及绿色建筑施工。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embedSystemFonts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57CE6DE5"/>
    <w:rsid w:val="003761D8"/>
    <w:rsid w:val="00387D4E"/>
    <w:rsid w:val="004A3565"/>
    <w:rsid w:val="0074726E"/>
    <w:rsid w:val="00890D09"/>
    <w:rsid w:val="00AC07F0"/>
    <w:rsid w:val="00DA5CC9"/>
    <w:rsid w:val="0311766D"/>
    <w:rsid w:val="037E6271"/>
    <w:rsid w:val="044E16E7"/>
    <w:rsid w:val="0580652A"/>
    <w:rsid w:val="05E66C88"/>
    <w:rsid w:val="062E4644"/>
    <w:rsid w:val="069F4193"/>
    <w:rsid w:val="06AF3504"/>
    <w:rsid w:val="07451C6C"/>
    <w:rsid w:val="079C38A5"/>
    <w:rsid w:val="07EA3B1F"/>
    <w:rsid w:val="07FC62F2"/>
    <w:rsid w:val="08646912"/>
    <w:rsid w:val="090F6001"/>
    <w:rsid w:val="0A866244"/>
    <w:rsid w:val="0A8E5D1E"/>
    <w:rsid w:val="0B4E1717"/>
    <w:rsid w:val="0C69030E"/>
    <w:rsid w:val="0D8074C3"/>
    <w:rsid w:val="0EC34129"/>
    <w:rsid w:val="0FF2670D"/>
    <w:rsid w:val="10C105E7"/>
    <w:rsid w:val="10D85CED"/>
    <w:rsid w:val="12255C8F"/>
    <w:rsid w:val="135E5CC8"/>
    <w:rsid w:val="14255668"/>
    <w:rsid w:val="1554504B"/>
    <w:rsid w:val="15582C4C"/>
    <w:rsid w:val="15854F54"/>
    <w:rsid w:val="16580FBF"/>
    <w:rsid w:val="165A3AB8"/>
    <w:rsid w:val="171B2DF6"/>
    <w:rsid w:val="174B4E22"/>
    <w:rsid w:val="188E547B"/>
    <w:rsid w:val="19373F37"/>
    <w:rsid w:val="1BF522B5"/>
    <w:rsid w:val="1C081F11"/>
    <w:rsid w:val="1DA52FEA"/>
    <w:rsid w:val="1F8823BE"/>
    <w:rsid w:val="20362575"/>
    <w:rsid w:val="20A924C7"/>
    <w:rsid w:val="22A930A9"/>
    <w:rsid w:val="22AE6BCF"/>
    <w:rsid w:val="232131B9"/>
    <w:rsid w:val="23666712"/>
    <w:rsid w:val="238B1EAD"/>
    <w:rsid w:val="238B4531"/>
    <w:rsid w:val="242C7D12"/>
    <w:rsid w:val="244669ED"/>
    <w:rsid w:val="247063F8"/>
    <w:rsid w:val="25A72E60"/>
    <w:rsid w:val="25B2364D"/>
    <w:rsid w:val="25B47CFB"/>
    <w:rsid w:val="25D231A0"/>
    <w:rsid w:val="26EE1123"/>
    <w:rsid w:val="27051989"/>
    <w:rsid w:val="27222628"/>
    <w:rsid w:val="27AA4577"/>
    <w:rsid w:val="28252A9B"/>
    <w:rsid w:val="28DC7918"/>
    <w:rsid w:val="296F482F"/>
    <w:rsid w:val="297961E6"/>
    <w:rsid w:val="29FE3AA8"/>
    <w:rsid w:val="2A2D57AD"/>
    <w:rsid w:val="2B0457EB"/>
    <w:rsid w:val="2BC310FF"/>
    <w:rsid w:val="2CB60ADB"/>
    <w:rsid w:val="2CF10453"/>
    <w:rsid w:val="2D2B4E63"/>
    <w:rsid w:val="2DE23BD2"/>
    <w:rsid w:val="302A3C52"/>
    <w:rsid w:val="310015DB"/>
    <w:rsid w:val="320A2328"/>
    <w:rsid w:val="336972BD"/>
    <w:rsid w:val="35CF2BCC"/>
    <w:rsid w:val="369E7865"/>
    <w:rsid w:val="377E5E8B"/>
    <w:rsid w:val="3848260A"/>
    <w:rsid w:val="385E1537"/>
    <w:rsid w:val="38EC7C57"/>
    <w:rsid w:val="39AE23CE"/>
    <w:rsid w:val="3A096EF2"/>
    <w:rsid w:val="3B291628"/>
    <w:rsid w:val="3BB11463"/>
    <w:rsid w:val="3C21415B"/>
    <w:rsid w:val="3C952EDD"/>
    <w:rsid w:val="3F4C35F3"/>
    <w:rsid w:val="4114428E"/>
    <w:rsid w:val="421C42BB"/>
    <w:rsid w:val="43A3018A"/>
    <w:rsid w:val="44251FB7"/>
    <w:rsid w:val="446C1765"/>
    <w:rsid w:val="44D13B8D"/>
    <w:rsid w:val="48AF5F0C"/>
    <w:rsid w:val="48BE1548"/>
    <w:rsid w:val="4A9D2770"/>
    <w:rsid w:val="4B3D13E7"/>
    <w:rsid w:val="4CAC398E"/>
    <w:rsid w:val="4D712CF9"/>
    <w:rsid w:val="4D9901C5"/>
    <w:rsid w:val="4DE27A93"/>
    <w:rsid w:val="4E4526B5"/>
    <w:rsid w:val="4E70020E"/>
    <w:rsid w:val="4F84069D"/>
    <w:rsid w:val="515B3813"/>
    <w:rsid w:val="529B499E"/>
    <w:rsid w:val="52E52721"/>
    <w:rsid w:val="5300798E"/>
    <w:rsid w:val="531225F7"/>
    <w:rsid w:val="54616749"/>
    <w:rsid w:val="551A4E03"/>
    <w:rsid w:val="561953B7"/>
    <w:rsid w:val="563B215B"/>
    <w:rsid w:val="574F002A"/>
    <w:rsid w:val="5794182D"/>
    <w:rsid w:val="57A559FE"/>
    <w:rsid w:val="57C00214"/>
    <w:rsid w:val="57CE6DE5"/>
    <w:rsid w:val="57D6291C"/>
    <w:rsid w:val="591D7439"/>
    <w:rsid w:val="597312BF"/>
    <w:rsid w:val="598C66C8"/>
    <w:rsid w:val="59C52849"/>
    <w:rsid w:val="5B4F3018"/>
    <w:rsid w:val="5B9B0FC2"/>
    <w:rsid w:val="5C1D033F"/>
    <w:rsid w:val="5CA23300"/>
    <w:rsid w:val="5DFB2031"/>
    <w:rsid w:val="612A16B2"/>
    <w:rsid w:val="619A03E3"/>
    <w:rsid w:val="61AC5B78"/>
    <w:rsid w:val="624D604E"/>
    <w:rsid w:val="625270F9"/>
    <w:rsid w:val="628950C7"/>
    <w:rsid w:val="634405AB"/>
    <w:rsid w:val="63A070EA"/>
    <w:rsid w:val="649A07B1"/>
    <w:rsid w:val="65D66857"/>
    <w:rsid w:val="670F0CB7"/>
    <w:rsid w:val="6728461D"/>
    <w:rsid w:val="681F791F"/>
    <w:rsid w:val="69081375"/>
    <w:rsid w:val="69546908"/>
    <w:rsid w:val="6A1E1DE2"/>
    <w:rsid w:val="6C2A027A"/>
    <w:rsid w:val="6D016D91"/>
    <w:rsid w:val="6D2D480A"/>
    <w:rsid w:val="6D535020"/>
    <w:rsid w:val="6D845340"/>
    <w:rsid w:val="6E835C5A"/>
    <w:rsid w:val="6F6E5533"/>
    <w:rsid w:val="6F8E41D0"/>
    <w:rsid w:val="6F914B78"/>
    <w:rsid w:val="70592087"/>
    <w:rsid w:val="70C14E4C"/>
    <w:rsid w:val="71506A6E"/>
    <w:rsid w:val="717C6009"/>
    <w:rsid w:val="718A0077"/>
    <w:rsid w:val="729A1F96"/>
    <w:rsid w:val="73FA5DE3"/>
    <w:rsid w:val="74E02431"/>
    <w:rsid w:val="74FB2A8F"/>
    <w:rsid w:val="7519181A"/>
    <w:rsid w:val="75F2360E"/>
    <w:rsid w:val="77F539CD"/>
    <w:rsid w:val="78286483"/>
    <w:rsid w:val="795932ED"/>
    <w:rsid w:val="795A63FD"/>
    <w:rsid w:val="7ADB314B"/>
    <w:rsid w:val="7AE61531"/>
    <w:rsid w:val="7B2A20B0"/>
    <w:rsid w:val="7C8F243F"/>
    <w:rsid w:val="7F79072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 w:firstLineChars="200"/>
    </w:pPr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customStyle="1" w:styleId="8">
    <w:name w:val="页眉 Char"/>
    <w:basedOn w:val="7"/>
    <w:link w:val="4"/>
    <w:qFormat/>
    <w:uiPriority w:val="0"/>
    <w:rPr>
      <w:kern w:val="2"/>
      <w:sz w:val="18"/>
      <w:szCs w:val="18"/>
    </w:rPr>
  </w:style>
  <w:style w:type="character" w:customStyle="1" w:styleId="9">
    <w:name w:val="页脚 Char"/>
    <w:basedOn w:val="7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Pages>1</Pages>
  <Words>413</Words>
  <Characters>456</Characters>
  <Lines>5</Lines>
  <Paragraphs>1</Paragraphs>
  <TotalTime>6</TotalTime>
  <ScaleCrop>false</ScaleCrop>
  <LinksUpToDate>false</LinksUpToDate>
  <CharactersWithSpaces>462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2018-09-13T09:04:00Z</dcterms:created>
  <dc:creator>Administrator</dc:creator>
  <cp:lastModifiedBy>烟寒若雨</cp:lastModifiedBy>
  <cp:lastPrinted>2019-04-24T11:44:00Z</cp:lastPrinted>
  <dcterms:modified xsi:type="dcterms:W3CDTF">2026-06-20T03:32:18Z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eyJoZGlkIjoiM2Q2NTg5MmMxOGRjYjkyYzIzMjgwNDU1ZTU2NmU2YjQiLCJ1c2VySWQiOiI4NDMzODEwODIifQ==</vt:lpwstr>
  </property>
  <property fmtid="{D5CDD505-2E9C-101B-9397-08002B2CF9AE}" pid="4" name="ICV">
    <vt:lpwstr>7D5497A72DBB4BC68592C649CFA43B36_12</vt:lpwstr>
  </property>
</Properties>
</file>